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06.11.2025 10:07:01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